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color w:val="404040"/>
          <w:sz w:val="32"/>
          <w:szCs w:val="32"/>
        </w:rPr>
      </w:pPr>
      <w:bookmarkStart w:colFirst="0" w:colLast="0" w:name="_gjdgxs" w:id="0"/>
      <w:bookmarkEnd w:id="0"/>
      <w:r w:rsidDel="00000000" w:rsidR="00000000" w:rsidRPr="00000000">
        <w:rPr>
          <w:rFonts w:ascii="Arial Narrow" w:cs="Arial Narrow" w:eastAsia="Arial Narrow" w:hAnsi="Arial Narrow"/>
          <w:b w:val="1"/>
          <w:color w:val="404040"/>
          <w:sz w:val="32"/>
          <w:szCs w:val="32"/>
          <w:rtl w:val="0"/>
        </w:rPr>
        <w:t xml:space="preserve">En 30 años se duplicará la población con más de 65 años en América Latina: ¿Cuáles son los desafíos en salud y pensiones?</w:t>
      </w:r>
    </w:p>
    <w:p w:rsidR="00000000" w:rsidDel="00000000" w:rsidP="00000000" w:rsidRDefault="00000000" w:rsidRPr="00000000" w14:paraId="00000002">
      <w:pPr>
        <w:jc w:val="center"/>
        <w:rPr>
          <w:rFonts w:ascii="Arial Narrow" w:cs="Arial Narrow" w:eastAsia="Arial Narrow" w:hAnsi="Arial Narrow"/>
          <w:b w:val="1"/>
          <w:color w:val="404040"/>
          <w:sz w:val="32"/>
          <w:szCs w:val="32"/>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999999"/>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999999"/>
          <w:sz w:val="22"/>
          <w:szCs w:val="22"/>
          <w:u w:val="none"/>
          <w:shd w:fill="auto" w:val="clear"/>
          <w:vertAlign w:val="baseline"/>
          <w:rtl w:val="0"/>
        </w:rPr>
        <w:t xml:space="preserve">El envejecimiento, la informalidad y los cambios tecnológicos son desafíos para mejorar la cobertura, calidad y sostenibilidad fiscal de la protección social en América Latina. El diagnóstico por país, así como recomendaciones de políticas para enfrentar esos desafíos, son abordados en el nuevo Reporte de Economía y Desarrollo de CAF -banco de desarrollo de América Latina.</w:t>
      </w:r>
    </w:p>
    <w:p w:rsidR="00000000" w:rsidDel="00000000" w:rsidP="00000000" w:rsidRDefault="00000000" w:rsidRPr="00000000" w14:paraId="00000004">
      <w:pPr>
        <w:jc w:val="both"/>
        <w:rPr>
          <w:rFonts w:ascii="Arial Narrow" w:cs="Arial Narrow" w:eastAsia="Arial Narrow" w:hAnsi="Arial Narrow"/>
          <w:color w:val="a6a6a6"/>
          <w:sz w:val="22"/>
          <w:szCs w:val="22"/>
        </w:rPr>
      </w:pPr>
      <w:r w:rsidDel="00000000" w:rsidR="00000000" w:rsidRPr="00000000">
        <w:rPr>
          <w:rtl w:val="0"/>
        </w:rPr>
      </w:r>
    </w:p>
    <w:p w:rsidR="00000000" w:rsidDel="00000000" w:rsidP="00000000" w:rsidRDefault="00000000" w:rsidRPr="00000000" w14:paraId="00000005">
      <w:pPr>
        <w:jc w:val="both"/>
        <w:rPr>
          <w:rFonts w:ascii="Arial Narrow" w:cs="Arial Narrow" w:eastAsia="Arial Narrow" w:hAnsi="Arial Narrow"/>
          <w:color w:val="212529"/>
          <w:sz w:val="22"/>
          <w:szCs w:val="22"/>
        </w:rPr>
      </w:pPr>
      <w:r w:rsidDel="00000000" w:rsidR="00000000" w:rsidRPr="00000000">
        <w:rPr>
          <w:rFonts w:ascii="Arial Narrow" w:cs="Arial Narrow" w:eastAsia="Arial Narrow" w:hAnsi="Arial Narrow"/>
          <w:color w:val="a6a6a6"/>
          <w:sz w:val="22"/>
          <w:szCs w:val="22"/>
          <w:rtl w:val="0"/>
        </w:rPr>
        <w:t xml:space="preserve">(Ciudad de México, 03 de noviembre de 2020).</w:t>
      </w:r>
      <w:r w:rsidDel="00000000" w:rsidR="00000000" w:rsidRPr="00000000">
        <w:rPr>
          <w:rFonts w:ascii="Arial Narrow" w:cs="Arial Narrow" w:eastAsia="Arial Narrow" w:hAnsi="Arial Narrow"/>
          <w:color w:val="808080"/>
          <w:sz w:val="22"/>
          <w:szCs w:val="22"/>
          <w:rtl w:val="0"/>
        </w:rPr>
        <w:t xml:space="preserve"> </w:t>
      </w:r>
      <w:r w:rsidDel="00000000" w:rsidR="00000000" w:rsidRPr="00000000">
        <w:rPr>
          <w:rFonts w:ascii="Arial Narrow" w:cs="Arial Narrow" w:eastAsia="Arial Narrow" w:hAnsi="Arial Narrow"/>
          <w:color w:val="212529"/>
          <w:sz w:val="22"/>
          <w:szCs w:val="22"/>
          <w:rtl w:val="0"/>
        </w:rPr>
        <w:t xml:space="preserve">En la actualidad, en América Latina más de </w:t>
      </w:r>
      <w:r w:rsidDel="00000000" w:rsidR="00000000" w:rsidRPr="00000000">
        <w:rPr>
          <w:rFonts w:ascii="Arial Narrow" w:cs="Arial Narrow" w:eastAsia="Arial Narrow" w:hAnsi="Arial Narrow"/>
          <w:b w:val="1"/>
          <w:color w:val="212529"/>
          <w:sz w:val="22"/>
          <w:szCs w:val="22"/>
          <w:rtl w:val="0"/>
        </w:rPr>
        <w:t xml:space="preserve">8%</w:t>
      </w:r>
      <w:r w:rsidDel="00000000" w:rsidR="00000000" w:rsidRPr="00000000">
        <w:rPr>
          <w:rFonts w:ascii="Arial Narrow" w:cs="Arial Narrow" w:eastAsia="Arial Narrow" w:hAnsi="Arial Narrow"/>
          <w:color w:val="212529"/>
          <w:sz w:val="22"/>
          <w:szCs w:val="22"/>
          <w:rtl w:val="0"/>
        </w:rPr>
        <w:t xml:space="preserve"> de la población tiene </w:t>
      </w:r>
      <w:r w:rsidDel="00000000" w:rsidR="00000000" w:rsidRPr="00000000">
        <w:rPr>
          <w:rFonts w:ascii="Arial Narrow" w:cs="Arial Narrow" w:eastAsia="Arial Narrow" w:hAnsi="Arial Narrow"/>
          <w:b w:val="1"/>
          <w:color w:val="212529"/>
          <w:sz w:val="22"/>
          <w:szCs w:val="22"/>
          <w:rtl w:val="0"/>
        </w:rPr>
        <w:t xml:space="preserve">65 años de edad o más</w:t>
      </w:r>
      <w:r w:rsidDel="00000000" w:rsidR="00000000" w:rsidRPr="00000000">
        <w:rPr>
          <w:rFonts w:ascii="Arial Narrow" w:cs="Arial Narrow" w:eastAsia="Arial Narrow" w:hAnsi="Arial Narrow"/>
          <w:color w:val="212529"/>
          <w:sz w:val="22"/>
          <w:szCs w:val="22"/>
          <w:rtl w:val="0"/>
        </w:rPr>
        <w:t xml:space="preserve">, muy por debajo del </w:t>
      </w:r>
      <w:r w:rsidDel="00000000" w:rsidR="00000000" w:rsidRPr="00000000">
        <w:rPr>
          <w:rFonts w:ascii="Arial Narrow" w:cs="Arial Narrow" w:eastAsia="Arial Narrow" w:hAnsi="Arial Narrow"/>
          <w:b w:val="1"/>
          <w:color w:val="212529"/>
          <w:sz w:val="22"/>
          <w:szCs w:val="22"/>
          <w:rtl w:val="0"/>
        </w:rPr>
        <w:t xml:space="preserve">18%</w:t>
      </w:r>
      <w:r w:rsidDel="00000000" w:rsidR="00000000" w:rsidRPr="00000000">
        <w:rPr>
          <w:rFonts w:ascii="Arial Narrow" w:cs="Arial Narrow" w:eastAsia="Arial Narrow" w:hAnsi="Arial Narrow"/>
          <w:color w:val="212529"/>
          <w:sz w:val="22"/>
          <w:szCs w:val="22"/>
          <w:rtl w:val="0"/>
        </w:rPr>
        <w:t xml:space="preserve"> de Europa. Sin embargo, para </w:t>
      </w:r>
      <w:r w:rsidDel="00000000" w:rsidR="00000000" w:rsidRPr="00000000">
        <w:rPr>
          <w:rFonts w:ascii="Arial Narrow" w:cs="Arial Narrow" w:eastAsia="Arial Narrow" w:hAnsi="Arial Narrow"/>
          <w:b w:val="1"/>
          <w:color w:val="212529"/>
          <w:sz w:val="22"/>
          <w:szCs w:val="22"/>
          <w:rtl w:val="0"/>
        </w:rPr>
        <w:t xml:space="preserve">2050</w:t>
      </w:r>
      <w:r w:rsidDel="00000000" w:rsidR="00000000" w:rsidRPr="00000000">
        <w:rPr>
          <w:rFonts w:ascii="Arial Narrow" w:cs="Arial Narrow" w:eastAsia="Arial Narrow" w:hAnsi="Arial Narrow"/>
          <w:color w:val="212529"/>
          <w:sz w:val="22"/>
          <w:szCs w:val="22"/>
          <w:rtl w:val="0"/>
        </w:rPr>
        <w:t xml:space="preserve">, se estima que la cifra se duplicará, hasta alcanzar el </w:t>
      </w:r>
      <w:r w:rsidDel="00000000" w:rsidR="00000000" w:rsidRPr="00000000">
        <w:rPr>
          <w:rFonts w:ascii="Arial Narrow" w:cs="Arial Narrow" w:eastAsia="Arial Narrow" w:hAnsi="Arial Narrow"/>
          <w:b w:val="1"/>
          <w:color w:val="212529"/>
          <w:sz w:val="22"/>
          <w:szCs w:val="22"/>
          <w:rtl w:val="0"/>
        </w:rPr>
        <w:t xml:space="preserve">17,5%,</w:t>
      </w:r>
      <w:r w:rsidDel="00000000" w:rsidR="00000000" w:rsidRPr="00000000">
        <w:rPr>
          <w:rFonts w:ascii="Arial Narrow" w:cs="Arial Narrow" w:eastAsia="Arial Narrow" w:hAnsi="Arial Narrow"/>
          <w:color w:val="212529"/>
          <w:sz w:val="22"/>
          <w:szCs w:val="22"/>
          <w:rtl w:val="0"/>
        </w:rPr>
        <w:t xml:space="preserve"> y para finales de siglo, superará el </w:t>
      </w:r>
      <w:r w:rsidDel="00000000" w:rsidR="00000000" w:rsidRPr="00000000">
        <w:rPr>
          <w:rFonts w:ascii="Arial Narrow" w:cs="Arial Narrow" w:eastAsia="Arial Narrow" w:hAnsi="Arial Narrow"/>
          <w:b w:val="1"/>
          <w:color w:val="212529"/>
          <w:sz w:val="22"/>
          <w:szCs w:val="22"/>
          <w:rtl w:val="0"/>
        </w:rPr>
        <w:t xml:space="preserve">30%</w:t>
      </w:r>
      <w:r w:rsidDel="00000000" w:rsidR="00000000" w:rsidRPr="00000000">
        <w:rPr>
          <w:rFonts w:ascii="Arial Narrow" w:cs="Arial Narrow" w:eastAsia="Arial Narrow" w:hAnsi="Arial Narrow"/>
          <w:color w:val="212529"/>
          <w:sz w:val="22"/>
          <w:szCs w:val="22"/>
          <w:rtl w:val="0"/>
        </w:rPr>
        <w:t xml:space="preserve">. Estos datos se destacan en el </w:t>
      </w:r>
      <w:hyperlink r:id="rId6">
        <w:r w:rsidDel="00000000" w:rsidR="00000000" w:rsidRPr="00000000">
          <w:rPr>
            <w:rFonts w:ascii="Arial Narrow" w:cs="Arial Narrow" w:eastAsia="Arial Narrow" w:hAnsi="Arial Narrow"/>
            <w:color w:val="0563c1"/>
            <w:sz w:val="22"/>
            <w:szCs w:val="22"/>
            <w:u w:val="single"/>
            <w:rtl w:val="0"/>
          </w:rPr>
          <w:t xml:space="preserve">Reporte de Economía y Desarrollo (RED) 2020</w:t>
        </w:r>
      </w:hyperlink>
      <w:r w:rsidDel="00000000" w:rsidR="00000000" w:rsidRPr="00000000">
        <w:rPr>
          <w:rFonts w:ascii="Arial Narrow" w:cs="Arial Narrow" w:eastAsia="Arial Narrow" w:hAnsi="Arial Narrow"/>
          <w:color w:val="212529"/>
          <w:sz w:val="22"/>
          <w:szCs w:val="22"/>
          <w:rtl w:val="0"/>
        </w:rPr>
        <w:t xml:space="preserve"> elaborado por CAF -banco de desarrollo de América Latina-, en el que se aborda el envejecimiento como un fenómeno generalizado, acelerado y con una importante incidencia fiscal en la región. El reporte presenta la situación los sistemas de pensiones y los servicios de salud y cuidados, así como los aspectos del mercado de trabajo que condicionan la cobertura y su financiamiento.</w:t>
      </w:r>
    </w:p>
    <w:p w:rsidR="00000000" w:rsidDel="00000000" w:rsidP="00000000" w:rsidRDefault="00000000" w:rsidRPr="00000000" w14:paraId="00000006">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color w:val="212529"/>
          <w:sz w:val="22"/>
          <w:szCs w:val="22"/>
        </w:rPr>
      </w:pPr>
      <w:r w:rsidDel="00000000" w:rsidR="00000000" w:rsidRPr="00000000">
        <w:rPr>
          <w:rFonts w:ascii="Arial Narrow" w:cs="Arial Narrow" w:eastAsia="Arial Narrow" w:hAnsi="Arial Narrow"/>
          <w:color w:val="212529"/>
          <w:sz w:val="22"/>
          <w:szCs w:val="22"/>
          <w:rtl w:val="0"/>
        </w:rPr>
        <w:t xml:space="preserve">El gasto público en pensiones de la región equivale, en promedio, al </w:t>
      </w:r>
      <w:r w:rsidDel="00000000" w:rsidR="00000000" w:rsidRPr="00000000">
        <w:rPr>
          <w:rFonts w:ascii="Arial Narrow" w:cs="Arial Narrow" w:eastAsia="Arial Narrow" w:hAnsi="Arial Narrow"/>
          <w:b w:val="1"/>
          <w:color w:val="212529"/>
          <w:sz w:val="22"/>
          <w:szCs w:val="22"/>
          <w:rtl w:val="0"/>
        </w:rPr>
        <w:t xml:space="preserve">4,3%</w:t>
      </w:r>
      <w:r w:rsidDel="00000000" w:rsidR="00000000" w:rsidRPr="00000000">
        <w:rPr>
          <w:rFonts w:ascii="Arial Narrow" w:cs="Arial Narrow" w:eastAsia="Arial Narrow" w:hAnsi="Arial Narrow"/>
          <w:color w:val="212529"/>
          <w:sz w:val="22"/>
          <w:szCs w:val="22"/>
          <w:rtl w:val="0"/>
        </w:rPr>
        <w:t xml:space="preserve"> del PIB y el gasto público en salud alcanza el </w:t>
      </w:r>
      <w:r w:rsidDel="00000000" w:rsidR="00000000" w:rsidRPr="00000000">
        <w:rPr>
          <w:rFonts w:ascii="Arial Narrow" w:cs="Arial Narrow" w:eastAsia="Arial Narrow" w:hAnsi="Arial Narrow"/>
          <w:b w:val="1"/>
          <w:color w:val="212529"/>
          <w:sz w:val="22"/>
          <w:szCs w:val="22"/>
          <w:rtl w:val="0"/>
        </w:rPr>
        <w:t xml:space="preserve">4,1%</w:t>
      </w:r>
      <w:r w:rsidDel="00000000" w:rsidR="00000000" w:rsidRPr="00000000">
        <w:rPr>
          <w:rFonts w:ascii="Arial Narrow" w:cs="Arial Narrow" w:eastAsia="Arial Narrow" w:hAnsi="Arial Narrow"/>
          <w:color w:val="212529"/>
          <w:sz w:val="22"/>
          <w:szCs w:val="22"/>
          <w:rtl w:val="0"/>
        </w:rPr>
        <w:t xml:space="preserve"> del PIB. Para algunos países, como </w:t>
      </w:r>
      <w:r w:rsidDel="00000000" w:rsidR="00000000" w:rsidRPr="00000000">
        <w:rPr>
          <w:rFonts w:ascii="Arial Narrow" w:cs="Arial Narrow" w:eastAsia="Arial Narrow" w:hAnsi="Arial Narrow"/>
          <w:b w:val="1"/>
          <w:color w:val="212529"/>
          <w:sz w:val="22"/>
          <w:szCs w:val="22"/>
          <w:rtl w:val="0"/>
        </w:rPr>
        <w:t xml:space="preserve">Colombia y Argentina</w:t>
      </w:r>
      <w:r w:rsidDel="00000000" w:rsidR="00000000" w:rsidRPr="00000000">
        <w:rPr>
          <w:rFonts w:ascii="Arial Narrow" w:cs="Arial Narrow" w:eastAsia="Arial Narrow" w:hAnsi="Arial Narrow"/>
          <w:color w:val="212529"/>
          <w:sz w:val="22"/>
          <w:szCs w:val="22"/>
          <w:rtl w:val="0"/>
        </w:rPr>
        <w:t xml:space="preserve">, el crecimiento proyectado del gasto en pensiones y salud en los próximos </w:t>
      </w:r>
      <w:r w:rsidDel="00000000" w:rsidR="00000000" w:rsidRPr="00000000">
        <w:rPr>
          <w:rFonts w:ascii="Arial Narrow" w:cs="Arial Narrow" w:eastAsia="Arial Narrow" w:hAnsi="Arial Narrow"/>
          <w:b w:val="1"/>
          <w:color w:val="212529"/>
          <w:sz w:val="22"/>
          <w:szCs w:val="22"/>
          <w:rtl w:val="0"/>
        </w:rPr>
        <w:t xml:space="preserve">40 años</w:t>
      </w:r>
      <w:r w:rsidDel="00000000" w:rsidR="00000000" w:rsidRPr="00000000">
        <w:rPr>
          <w:rFonts w:ascii="Arial Narrow" w:cs="Arial Narrow" w:eastAsia="Arial Narrow" w:hAnsi="Arial Narrow"/>
          <w:color w:val="212529"/>
          <w:sz w:val="22"/>
          <w:szCs w:val="22"/>
          <w:rtl w:val="0"/>
        </w:rPr>
        <w:t xml:space="preserve"> podría superar los </w:t>
      </w:r>
      <w:r w:rsidDel="00000000" w:rsidR="00000000" w:rsidRPr="00000000">
        <w:rPr>
          <w:rFonts w:ascii="Arial Narrow" w:cs="Arial Narrow" w:eastAsia="Arial Narrow" w:hAnsi="Arial Narrow"/>
          <w:b w:val="1"/>
          <w:color w:val="212529"/>
          <w:sz w:val="22"/>
          <w:szCs w:val="22"/>
          <w:rtl w:val="0"/>
        </w:rPr>
        <w:t xml:space="preserve">6 puntos</w:t>
      </w:r>
      <w:r w:rsidDel="00000000" w:rsidR="00000000" w:rsidRPr="00000000">
        <w:rPr>
          <w:rFonts w:ascii="Arial Narrow" w:cs="Arial Narrow" w:eastAsia="Arial Narrow" w:hAnsi="Arial Narrow"/>
          <w:color w:val="212529"/>
          <w:sz w:val="22"/>
          <w:szCs w:val="22"/>
          <w:rtl w:val="0"/>
        </w:rPr>
        <w:t xml:space="preserve"> porcentuales del PIB como resultado del envejecimiento.</w:t>
      </w:r>
    </w:p>
    <w:p w:rsidR="00000000" w:rsidDel="00000000" w:rsidP="00000000" w:rsidRDefault="00000000" w:rsidRPr="00000000" w14:paraId="00000008">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09">
      <w:pPr>
        <w:jc w:val="both"/>
        <w:rPr>
          <w:rFonts w:ascii="Arial Narrow" w:cs="Arial Narrow" w:eastAsia="Arial Narrow" w:hAnsi="Arial Narrow"/>
          <w:color w:val="212529"/>
          <w:sz w:val="22"/>
          <w:szCs w:val="22"/>
        </w:rPr>
      </w:pPr>
      <w:r w:rsidDel="00000000" w:rsidR="00000000" w:rsidRPr="00000000">
        <w:rPr>
          <w:rFonts w:ascii="Arial Narrow" w:cs="Arial Narrow" w:eastAsia="Arial Narrow" w:hAnsi="Arial Narrow"/>
          <w:color w:val="212529"/>
          <w:sz w:val="22"/>
          <w:szCs w:val="22"/>
          <w:rtl w:val="0"/>
        </w:rPr>
        <w:t xml:space="preserve">“En el </w:t>
      </w:r>
      <w:hyperlink r:id="rId7">
        <w:r w:rsidDel="00000000" w:rsidR="00000000" w:rsidRPr="00000000">
          <w:rPr>
            <w:rFonts w:ascii="Arial Narrow" w:cs="Arial Narrow" w:eastAsia="Arial Narrow" w:hAnsi="Arial Narrow"/>
            <w:color w:val="0563c1"/>
            <w:sz w:val="22"/>
            <w:szCs w:val="22"/>
            <w:u w:val="single"/>
            <w:rtl w:val="0"/>
          </w:rPr>
          <w:t xml:space="preserve">RED 2020</w:t>
        </w:r>
      </w:hyperlink>
      <w:r w:rsidDel="00000000" w:rsidR="00000000" w:rsidRPr="00000000">
        <w:rPr>
          <w:rFonts w:ascii="Arial Narrow" w:cs="Arial Narrow" w:eastAsia="Arial Narrow" w:hAnsi="Arial Narrow"/>
          <w:color w:val="212529"/>
          <w:sz w:val="22"/>
          <w:szCs w:val="22"/>
          <w:rtl w:val="0"/>
        </w:rPr>
        <w:t xml:space="preserve"> proyectamos los efectos que tendrá el envejecimiento en la protección social para el adulto mayor, pero también encontramos que la informalidad es una gran amenaza para la sostenibilidad de esa protección social. Los cálculos realizados sugieren que </w:t>
      </w:r>
      <w:r w:rsidDel="00000000" w:rsidR="00000000" w:rsidRPr="00000000">
        <w:rPr>
          <w:rFonts w:ascii="Arial Narrow" w:cs="Arial Narrow" w:eastAsia="Arial Narrow" w:hAnsi="Arial Narrow"/>
          <w:b w:val="1"/>
          <w:color w:val="212529"/>
          <w:sz w:val="22"/>
          <w:szCs w:val="22"/>
          <w:rtl w:val="0"/>
        </w:rPr>
        <w:t xml:space="preserve">la informalidad deteriora la base de contribuyentes </w:t>
      </w:r>
      <w:r w:rsidDel="00000000" w:rsidR="00000000" w:rsidRPr="00000000">
        <w:rPr>
          <w:rFonts w:ascii="Arial Narrow" w:cs="Arial Narrow" w:eastAsia="Arial Narrow" w:hAnsi="Arial Narrow"/>
          <w:color w:val="212529"/>
          <w:sz w:val="22"/>
          <w:szCs w:val="22"/>
          <w:rtl w:val="0"/>
        </w:rPr>
        <w:t xml:space="preserve">en valores comparables a los que se producirán como consecuencia del proceso de envejecimiento en los </w:t>
      </w:r>
      <w:r w:rsidDel="00000000" w:rsidR="00000000" w:rsidRPr="00000000">
        <w:rPr>
          <w:rFonts w:ascii="Arial Narrow" w:cs="Arial Narrow" w:eastAsia="Arial Narrow" w:hAnsi="Arial Narrow"/>
          <w:b w:val="1"/>
          <w:color w:val="212529"/>
          <w:sz w:val="22"/>
          <w:szCs w:val="22"/>
          <w:rtl w:val="0"/>
        </w:rPr>
        <w:t xml:space="preserve">próximos 40 años</w:t>
      </w:r>
      <w:r w:rsidDel="00000000" w:rsidR="00000000" w:rsidRPr="00000000">
        <w:rPr>
          <w:rFonts w:ascii="Arial Narrow" w:cs="Arial Narrow" w:eastAsia="Arial Narrow" w:hAnsi="Arial Narrow"/>
          <w:color w:val="212529"/>
          <w:sz w:val="22"/>
          <w:szCs w:val="22"/>
          <w:rtl w:val="0"/>
        </w:rPr>
        <w:t xml:space="preserve">”, explicó </w:t>
      </w:r>
      <w:r w:rsidDel="00000000" w:rsidR="00000000" w:rsidRPr="00000000">
        <w:rPr>
          <w:rFonts w:ascii="Arial Narrow" w:cs="Arial Narrow" w:eastAsia="Arial Narrow" w:hAnsi="Arial Narrow"/>
          <w:b w:val="1"/>
          <w:color w:val="212529"/>
          <w:sz w:val="22"/>
          <w:szCs w:val="22"/>
          <w:rtl w:val="0"/>
        </w:rPr>
        <w:t xml:space="preserve">Pablo Sanguinetti</w:t>
      </w:r>
      <w:r w:rsidDel="00000000" w:rsidR="00000000" w:rsidRPr="00000000">
        <w:rPr>
          <w:rFonts w:ascii="Arial Narrow" w:cs="Arial Narrow" w:eastAsia="Arial Narrow" w:hAnsi="Arial Narrow"/>
          <w:color w:val="212529"/>
          <w:sz w:val="22"/>
          <w:szCs w:val="22"/>
          <w:rtl w:val="0"/>
        </w:rPr>
        <w:t xml:space="preserve">, vicepresidente de Conocimiento de CAF.  </w:t>
      </w:r>
    </w:p>
    <w:p w:rsidR="00000000" w:rsidDel="00000000" w:rsidP="00000000" w:rsidRDefault="00000000" w:rsidRPr="00000000" w14:paraId="0000000A">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0B">
      <w:pPr>
        <w:jc w:val="both"/>
        <w:rPr>
          <w:rFonts w:ascii="Arial Narrow" w:cs="Arial Narrow" w:eastAsia="Arial Narrow" w:hAnsi="Arial Narrow"/>
          <w:color w:val="212529"/>
          <w:sz w:val="22"/>
          <w:szCs w:val="22"/>
        </w:rPr>
      </w:pPr>
      <w:r w:rsidDel="00000000" w:rsidR="00000000" w:rsidRPr="00000000">
        <w:rPr>
          <w:rFonts w:ascii="Arial Narrow" w:cs="Arial Narrow" w:eastAsia="Arial Narrow" w:hAnsi="Arial Narrow"/>
          <w:b w:val="1"/>
          <w:color w:val="212529"/>
          <w:sz w:val="22"/>
          <w:szCs w:val="22"/>
          <w:rtl w:val="0"/>
        </w:rPr>
        <w:t xml:space="preserve">Entre 2005 y 2018</w:t>
      </w:r>
      <w:r w:rsidDel="00000000" w:rsidR="00000000" w:rsidRPr="00000000">
        <w:rPr>
          <w:rFonts w:ascii="Arial Narrow" w:cs="Arial Narrow" w:eastAsia="Arial Narrow" w:hAnsi="Arial Narrow"/>
          <w:color w:val="212529"/>
          <w:sz w:val="22"/>
          <w:szCs w:val="22"/>
          <w:rtl w:val="0"/>
        </w:rPr>
        <w:t xml:space="preserve">, la informalidad se redujo en la región, con una caída en la proporción de asalariados informales de casi </w:t>
      </w:r>
      <w:r w:rsidDel="00000000" w:rsidR="00000000" w:rsidRPr="00000000">
        <w:rPr>
          <w:rFonts w:ascii="Arial Narrow" w:cs="Arial Narrow" w:eastAsia="Arial Narrow" w:hAnsi="Arial Narrow"/>
          <w:b w:val="1"/>
          <w:color w:val="212529"/>
          <w:sz w:val="22"/>
          <w:szCs w:val="22"/>
          <w:rtl w:val="0"/>
        </w:rPr>
        <w:t xml:space="preserve">9</w:t>
      </w:r>
      <w:r w:rsidDel="00000000" w:rsidR="00000000" w:rsidRPr="00000000">
        <w:rPr>
          <w:rFonts w:ascii="Arial Narrow" w:cs="Arial Narrow" w:eastAsia="Arial Narrow" w:hAnsi="Arial Narrow"/>
          <w:color w:val="212529"/>
          <w:sz w:val="22"/>
          <w:szCs w:val="22"/>
          <w:rtl w:val="0"/>
        </w:rPr>
        <w:t xml:space="preserve"> </w:t>
      </w:r>
      <w:r w:rsidDel="00000000" w:rsidR="00000000" w:rsidRPr="00000000">
        <w:rPr>
          <w:rFonts w:ascii="Arial Narrow" w:cs="Arial Narrow" w:eastAsia="Arial Narrow" w:hAnsi="Arial Narrow"/>
          <w:b w:val="1"/>
          <w:color w:val="212529"/>
          <w:sz w:val="22"/>
          <w:szCs w:val="22"/>
          <w:rtl w:val="0"/>
        </w:rPr>
        <w:t xml:space="preserve">puntos porcentuales</w:t>
      </w:r>
      <w:r w:rsidDel="00000000" w:rsidR="00000000" w:rsidRPr="00000000">
        <w:rPr>
          <w:rFonts w:ascii="Arial Narrow" w:cs="Arial Narrow" w:eastAsia="Arial Narrow" w:hAnsi="Arial Narrow"/>
          <w:color w:val="212529"/>
          <w:sz w:val="22"/>
          <w:szCs w:val="22"/>
          <w:rtl w:val="0"/>
        </w:rPr>
        <w:t xml:space="preserve">. Sin embargo, cerca del </w:t>
      </w:r>
      <w:r w:rsidDel="00000000" w:rsidR="00000000" w:rsidRPr="00000000">
        <w:rPr>
          <w:rFonts w:ascii="Arial Narrow" w:cs="Arial Narrow" w:eastAsia="Arial Narrow" w:hAnsi="Arial Narrow"/>
          <w:b w:val="1"/>
          <w:color w:val="212529"/>
          <w:sz w:val="22"/>
          <w:szCs w:val="22"/>
          <w:rtl w:val="0"/>
        </w:rPr>
        <w:t xml:space="preserve">63%</w:t>
      </w:r>
      <w:r w:rsidDel="00000000" w:rsidR="00000000" w:rsidRPr="00000000">
        <w:rPr>
          <w:rFonts w:ascii="Arial Narrow" w:cs="Arial Narrow" w:eastAsia="Arial Narrow" w:hAnsi="Arial Narrow"/>
          <w:color w:val="212529"/>
          <w:sz w:val="22"/>
          <w:szCs w:val="22"/>
          <w:rtl w:val="0"/>
        </w:rPr>
        <w:t xml:space="preserve"> de las personas ocupadas de la región, en promedio, trabajan aún en un empleo informal. Este panorama ha sido agravado por la importante destrucción de empleo formal como consecuencia del </w:t>
      </w:r>
      <w:r w:rsidDel="00000000" w:rsidR="00000000" w:rsidRPr="00000000">
        <w:rPr>
          <w:rFonts w:ascii="Arial Narrow" w:cs="Arial Narrow" w:eastAsia="Arial Narrow" w:hAnsi="Arial Narrow"/>
          <w:b w:val="1"/>
          <w:color w:val="212529"/>
          <w:sz w:val="22"/>
          <w:szCs w:val="22"/>
          <w:rtl w:val="0"/>
        </w:rPr>
        <w:t xml:space="preserve">COVID-19.</w:t>
      </w:r>
      <w:r w:rsidDel="00000000" w:rsidR="00000000" w:rsidRPr="00000000">
        <w:rPr>
          <w:rFonts w:ascii="Arial Narrow" w:cs="Arial Narrow" w:eastAsia="Arial Narrow" w:hAnsi="Arial Narrow"/>
          <w:color w:val="212529"/>
          <w:sz w:val="22"/>
          <w:szCs w:val="22"/>
          <w:rtl w:val="0"/>
        </w:rPr>
        <w:t xml:space="preserve"> La pandemia impone desafíos en esta materia, en la medida que el mercado de trabajo no reasigne en trabajos de calidad a los trabajadores que perdieron su empleo y estos se refugien en empleos informales y con bajos salarios.</w:t>
      </w:r>
    </w:p>
    <w:p w:rsidR="00000000" w:rsidDel="00000000" w:rsidP="00000000" w:rsidRDefault="00000000" w:rsidRPr="00000000" w14:paraId="0000000C">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color w:val="212529"/>
          <w:sz w:val="22"/>
          <w:szCs w:val="22"/>
        </w:rPr>
      </w:pPr>
      <w:r w:rsidDel="00000000" w:rsidR="00000000" w:rsidRPr="00000000">
        <w:rPr>
          <w:rFonts w:ascii="Arial Narrow" w:cs="Arial Narrow" w:eastAsia="Arial Narrow" w:hAnsi="Arial Narrow"/>
          <w:color w:val="212529"/>
          <w:sz w:val="22"/>
          <w:szCs w:val="22"/>
          <w:rtl w:val="0"/>
        </w:rPr>
        <w:t xml:space="preserve">Otra tendencia global relevante para la protección social es el avance, a diferentes velocidades, en la </w:t>
      </w:r>
      <w:r w:rsidDel="00000000" w:rsidR="00000000" w:rsidRPr="00000000">
        <w:rPr>
          <w:rFonts w:ascii="Arial Narrow" w:cs="Arial Narrow" w:eastAsia="Arial Narrow" w:hAnsi="Arial Narrow"/>
          <w:b w:val="1"/>
          <w:color w:val="212529"/>
          <w:sz w:val="22"/>
          <w:szCs w:val="22"/>
          <w:rtl w:val="0"/>
        </w:rPr>
        <w:t xml:space="preserve">digitalización y automatización de los procesos productivos</w:t>
      </w:r>
      <w:r w:rsidDel="00000000" w:rsidR="00000000" w:rsidRPr="00000000">
        <w:rPr>
          <w:rFonts w:ascii="Arial Narrow" w:cs="Arial Narrow" w:eastAsia="Arial Narrow" w:hAnsi="Arial Narrow"/>
          <w:color w:val="212529"/>
          <w:sz w:val="22"/>
          <w:szCs w:val="22"/>
          <w:rtl w:val="0"/>
        </w:rPr>
        <w:t xml:space="preserve">. Los avances tecnológicos pueden favorecer la sustitución de trabajadores por máquinas o la digitalización en la realización de tareas rutinarias, aumentar la productividad en tareas no rutinarias y ampliar las oportunidades para la realización de nuevas tareas. Estos avances inciden en la provisión de protección social ya que afectan las trayectorias laborales y la distribución salarial. Por otra parte, el cambio tecnológico puede favorecer el desarrollo de modalidades de trabajo no tradicionales y con diferente propensión a contribuir al sistema de protección social. Un ejemplo de esto son los llamados </w:t>
      </w:r>
      <w:r w:rsidDel="00000000" w:rsidR="00000000" w:rsidRPr="00000000">
        <w:rPr>
          <w:rFonts w:ascii="Arial Narrow" w:cs="Arial Narrow" w:eastAsia="Arial Narrow" w:hAnsi="Arial Narrow"/>
          <w:b w:val="1"/>
          <w:color w:val="212529"/>
          <w:sz w:val="22"/>
          <w:szCs w:val="22"/>
          <w:rtl w:val="0"/>
        </w:rPr>
        <w:t xml:space="preserve">empleos de plataforma</w:t>
      </w:r>
      <w:r w:rsidDel="00000000" w:rsidR="00000000" w:rsidRPr="00000000">
        <w:rPr>
          <w:rFonts w:ascii="Arial Narrow" w:cs="Arial Narrow" w:eastAsia="Arial Narrow" w:hAnsi="Arial Narrow"/>
          <w:color w:val="212529"/>
          <w:sz w:val="22"/>
          <w:szCs w:val="22"/>
          <w:rtl w:val="0"/>
        </w:rPr>
        <w:t xml:space="preserve">, que según la Encuesta CAF (ECAF) 2019, alcanzan ya a </w:t>
      </w:r>
      <w:r w:rsidDel="00000000" w:rsidR="00000000" w:rsidRPr="00000000">
        <w:rPr>
          <w:rFonts w:ascii="Arial Narrow" w:cs="Arial Narrow" w:eastAsia="Arial Narrow" w:hAnsi="Arial Narrow"/>
          <w:b w:val="1"/>
          <w:color w:val="212529"/>
          <w:sz w:val="22"/>
          <w:szCs w:val="22"/>
          <w:rtl w:val="0"/>
        </w:rPr>
        <w:t xml:space="preserve">1 de cada 10 ocupados</w:t>
      </w:r>
      <w:r w:rsidDel="00000000" w:rsidR="00000000" w:rsidRPr="00000000">
        <w:rPr>
          <w:rFonts w:ascii="Arial Narrow" w:cs="Arial Narrow" w:eastAsia="Arial Narrow" w:hAnsi="Arial Narrow"/>
          <w:color w:val="212529"/>
          <w:sz w:val="22"/>
          <w:szCs w:val="22"/>
          <w:rtl w:val="0"/>
        </w:rPr>
        <w:t xml:space="preserve"> en las principales ciudades de la región.</w:t>
      </w:r>
    </w:p>
    <w:p w:rsidR="00000000" w:rsidDel="00000000" w:rsidP="00000000" w:rsidRDefault="00000000" w:rsidRPr="00000000" w14:paraId="0000000E">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0F">
      <w:pPr>
        <w:jc w:val="both"/>
        <w:rPr>
          <w:rFonts w:ascii="Arial Narrow" w:cs="Arial Narrow" w:eastAsia="Arial Narrow" w:hAnsi="Arial Narrow"/>
          <w:b w:val="1"/>
          <w:color w:val="404040"/>
          <w:sz w:val="22"/>
          <w:szCs w:val="22"/>
        </w:rPr>
      </w:pPr>
      <w:r w:rsidDel="00000000" w:rsidR="00000000" w:rsidRPr="00000000">
        <w:rPr>
          <w:rFonts w:ascii="Arial Narrow" w:cs="Arial Narrow" w:eastAsia="Arial Narrow" w:hAnsi="Arial Narrow"/>
          <w:b w:val="1"/>
          <w:color w:val="404040"/>
          <w:sz w:val="28"/>
          <w:szCs w:val="28"/>
          <w:rtl w:val="0"/>
        </w:rPr>
        <w:t xml:space="preserve">Pensiones</w:t>
      </w: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11">
      <w:pPr>
        <w:jc w:val="both"/>
        <w:rPr>
          <w:rFonts w:ascii="Arial Narrow" w:cs="Arial Narrow" w:eastAsia="Arial Narrow" w:hAnsi="Arial Narrow"/>
          <w:color w:val="212529"/>
          <w:sz w:val="22"/>
          <w:szCs w:val="22"/>
        </w:rPr>
      </w:pPr>
      <w:r w:rsidDel="00000000" w:rsidR="00000000" w:rsidRPr="00000000">
        <w:rPr>
          <w:rFonts w:ascii="Arial Narrow" w:cs="Arial Narrow" w:eastAsia="Arial Narrow" w:hAnsi="Arial Narrow"/>
          <w:color w:val="212529"/>
          <w:sz w:val="22"/>
          <w:szCs w:val="22"/>
          <w:rtl w:val="0"/>
        </w:rPr>
        <w:t xml:space="preserve">Tomando como referencia la tasa de reemplazo promedio para los países de la </w:t>
      </w:r>
      <w:r w:rsidDel="00000000" w:rsidR="00000000" w:rsidRPr="00000000">
        <w:rPr>
          <w:rFonts w:ascii="Arial Narrow" w:cs="Arial Narrow" w:eastAsia="Arial Narrow" w:hAnsi="Arial Narrow"/>
          <w:b w:val="1"/>
          <w:color w:val="212529"/>
          <w:sz w:val="22"/>
          <w:szCs w:val="22"/>
          <w:rtl w:val="0"/>
        </w:rPr>
        <w:t xml:space="preserve">OCDE</w:t>
      </w:r>
      <w:r w:rsidDel="00000000" w:rsidR="00000000" w:rsidRPr="00000000">
        <w:rPr>
          <w:rFonts w:ascii="Arial Narrow" w:cs="Arial Narrow" w:eastAsia="Arial Narrow" w:hAnsi="Arial Narrow"/>
          <w:color w:val="212529"/>
          <w:sz w:val="22"/>
          <w:szCs w:val="22"/>
          <w:rtl w:val="0"/>
        </w:rPr>
        <w:t xml:space="preserve">, que se ubica en el </w:t>
      </w:r>
      <w:r w:rsidDel="00000000" w:rsidR="00000000" w:rsidRPr="00000000">
        <w:rPr>
          <w:rFonts w:ascii="Arial Narrow" w:cs="Arial Narrow" w:eastAsia="Arial Narrow" w:hAnsi="Arial Narrow"/>
          <w:b w:val="1"/>
          <w:color w:val="212529"/>
          <w:sz w:val="22"/>
          <w:szCs w:val="22"/>
          <w:rtl w:val="0"/>
        </w:rPr>
        <w:t xml:space="preserve">59%</w:t>
      </w:r>
      <w:r w:rsidDel="00000000" w:rsidR="00000000" w:rsidRPr="00000000">
        <w:rPr>
          <w:rFonts w:ascii="Arial Narrow" w:cs="Arial Narrow" w:eastAsia="Arial Narrow" w:hAnsi="Arial Narrow"/>
          <w:color w:val="212529"/>
          <w:sz w:val="22"/>
          <w:szCs w:val="22"/>
          <w:rtl w:val="0"/>
        </w:rPr>
        <w:t xml:space="preserve">, los países con </w:t>
      </w:r>
      <w:r w:rsidDel="00000000" w:rsidR="00000000" w:rsidRPr="00000000">
        <w:rPr>
          <w:rFonts w:ascii="Arial Narrow" w:cs="Arial Narrow" w:eastAsia="Arial Narrow" w:hAnsi="Arial Narrow"/>
          <w:b w:val="1"/>
          <w:color w:val="212529"/>
          <w:sz w:val="22"/>
          <w:szCs w:val="22"/>
          <w:rtl w:val="0"/>
        </w:rPr>
        <w:t xml:space="preserve">regímenes de reparto</w:t>
      </w:r>
      <w:r w:rsidDel="00000000" w:rsidR="00000000" w:rsidRPr="00000000">
        <w:rPr>
          <w:rFonts w:ascii="Arial Narrow" w:cs="Arial Narrow" w:eastAsia="Arial Narrow" w:hAnsi="Arial Narrow"/>
          <w:color w:val="212529"/>
          <w:sz w:val="22"/>
          <w:szCs w:val="22"/>
          <w:rtl w:val="0"/>
        </w:rPr>
        <w:t xml:space="preserve"> de la región se ubican en general por encima, y por tanto no presentarían problemas de suficiencia de sus montos. Las tasas de reemplazo de los </w:t>
      </w:r>
      <w:r w:rsidDel="00000000" w:rsidR="00000000" w:rsidRPr="00000000">
        <w:rPr>
          <w:rFonts w:ascii="Arial Narrow" w:cs="Arial Narrow" w:eastAsia="Arial Narrow" w:hAnsi="Arial Narrow"/>
          <w:b w:val="1"/>
          <w:color w:val="212529"/>
          <w:sz w:val="22"/>
          <w:szCs w:val="22"/>
          <w:rtl w:val="0"/>
        </w:rPr>
        <w:t xml:space="preserve">regímenes de capitalización</w:t>
      </w:r>
      <w:r w:rsidDel="00000000" w:rsidR="00000000" w:rsidRPr="00000000">
        <w:rPr>
          <w:rFonts w:ascii="Arial Narrow" w:cs="Arial Narrow" w:eastAsia="Arial Narrow" w:hAnsi="Arial Narrow"/>
          <w:color w:val="212529"/>
          <w:sz w:val="22"/>
          <w:szCs w:val="22"/>
          <w:rtl w:val="0"/>
        </w:rPr>
        <w:t xml:space="preserve">, en cambio, se ubican bastante por debajo del promedio de la OCDE, lo que apunta a potenciales problemas de suficiencia.</w:t>
      </w:r>
    </w:p>
    <w:p w:rsidR="00000000" w:rsidDel="00000000" w:rsidP="00000000" w:rsidRDefault="00000000" w:rsidRPr="00000000" w14:paraId="00000012">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13">
      <w:pPr>
        <w:jc w:val="both"/>
        <w:rPr>
          <w:rFonts w:ascii="Arial Narrow" w:cs="Arial Narrow" w:eastAsia="Arial Narrow" w:hAnsi="Arial Narrow"/>
          <w:color w:val="212529"/>
          <w:sz w:val="22"/>
          <w:szCs w:val="22"/>
        </w:rPr>
      </w:pPr>
      <w:r w:rsidDel="00000000" w:rsidR="00000000" w:rsidRPr="00000000">
        <w:rPr>
          <w:rFonts w:ascii="Arial Narrow" w:cs="Arial Narrow" w:eastAsia="Arial Narrow" w:hAnsi="Arial Narrow"/>
          <w:color w:val="212529"/>
          <w:sz w:val="22"/>
          <w:szCs w:val="22"/>
          <w:rtl w:val="0"/>
        </w:rPr>
        <w:t xml:space="preserve">“El diseño de los sistemas de pensiones en la región debería seguir </w:t>
      </w:r>
      <w:r w:rsidDel="00000000" w:rsidR="00000000" w:rsidRPr="00000000">
        <w:rPr>
          <w:rFonts w:ascii="Arial Narrow" w:cs="Arial Narrow" w:eastAsia="Arial Narrow" w:hAnsi="Arial Narrow"/>
          <w:b w:val="1"/>
          <w:color w:val="212529"/>
          <w:sz w:val="22"/>
          <w:szCs w:val="22"/>
          <w:rtl w:val="0"/>
        </w:rPr>
        <w:t xml:space="preserve">tres líneas generales</w:t>
      </w:r>
      <w:r w:rsidDel="00000000" w:rsidR="00000000" w:rsidRPr="00000000">
        <w:rPr>
          <w:rFonts w:ascii="Arial Narrow" w:cs="Arial Narrow" w:eastAsia="Arial Narrow" w:hAnsi="Arial Narrow"/>
          <w:color w:val="212529"/>
          <w:sz w:val="22"/>
          <w:szCs w:val="22"/>
          <w:rtl w:val="0"/>
        </w:rPr>
        <w:t xml:space="preserve">, que son independientes de si los sistemas tienen una arquitectura de capitalización, de reparto o mixta. Primero, todos los adultos mayores deberían contar con un </w:t>
      </w:r>
      <w:r w:rsidDel="00000000" w:rsidR="00000000" w:rsidRPr="00000000">
        <w:rPr>
          <w:rFonts w:ascii="Arial Narrow" w:cs="Arial Narrow" w:eastAsia="Arial Narrow" w:hAnsi="Arial Narrow"/>
          <w:b w:val="1"/>
          <w:color w:val="212529"/>
          <w:sz w:val="22"/>
          <w:szCs w:val="22"/>
          <w:rtl w:val="0"/>
        </w:rPr>
        <w:t xml:space="preserve">ingreso mínimo suficiente</w:t>
      </w:r>
      <w:r w:rsidDel="00000000" w:rsidR="00000000" w:rsidRPr="00000000">
        <w:rPr>
          <w:rFonts w:ascii="Arial Narrow" w:cs="Arial Narrow" w:eastAsia="Arial Narrow" w:hAnsi="Arial Narrow"/>
          <w:color w:val="212529"/>
          <w:sz w:val="22"/>
          <w:szCs w:val="22"/>
          <w:rtl w:val="0"/>
        </w:rPr>
        <w:t xml:space="preserve">. Segundo, el componente contributivo de las pensiones debe estar </w:t>
      </w:r>
      <w:r w:rsidDel="00000000" w:rsidR="00000000" w:rsidRPr="00000000">
        <w:rPr>
          <w:rFonts w:ascii="Arial Narrow" w:cs="Arial Narrow" w:eastAsia="Arial Narrow" w:hAnsi="Arial Narrow"/>
          <w:b w:val="1"/>
          <w:color w:val="212529"/>
          <w:sz w:val="22"/>
          <w:szCs w:val="22"/>
          <w:rtl w:val="0"/>
        </w:rPr>
        <w:t xml:space="preserve">equilibrado en términos financieros</w:t>
      </w:r>
      <w:r w:rsidDel="00000000" w:rsidR="00000000" w:rsidRPr="00000000">
        <w:rPr>
          <w:rFonts w:ascii="Arial Narrow" w:cs="Arial Narrow" w:eastAsia="Arial Narrow" w:hAnsi="Arial Narrow"/>
          <w:color w:val="212529"/>
          <w:sz w:val="22"/>
          <w:szCs w:val="22"/>
          <w:rtl w:val="0"/>
        </w:rPr>
        <w:t xml:space="preserve"> para ser sostenible. El tercer lineamiento se refiere a aspectos más específicos del </w:t>
      </w:r>
      <w:r w:rsidDel="00000000" w:rsidR="00000000" w:rsidRPr="00000000">
        <w:rPr>
          <w:rFonts w:ascii="Arial Narrow" w:cs="Arial Narrow" w:eastAsia="Arial Narrow" w:hAnsi="Arial Narrow"/>
          <w:b w:val="1"/>
          <w:color w:val="212529"/>
          <w:sz w:val="22"/>
          <w:szCs w:val="22"/>
          <w:rtl w:val="0"/>
        </w:rPr>
        <w:t xml:space="preserve">diseño de las pensiones</w:t>
      </w:r>
      <w:r w:rsidDel="00000000" w:rsidR="00000000" w:rsidRPr="00000000">
        <w:rPr>
          <w:rFonts w:ascii="Arial Narrow" w:cs="Arial Narrow" w:eastAsia="Arial Narrow" w:hAnsi="Arial Narrow"/>
          <w:color w:val="212529"/>
          <w:sz w:val="22"/>
          <w:szCs w:val="22"/>
          <w:rtl w:val="0"/>
        </w:rPr>
        <w:t xml:space="preserve"> con un foco especial en los incentivos para aportar que ofrecen los distintos sistemas para aumentar la cobertura y los aportes”, agregó Sanguinetti. </w:t>
      </w:r>
    </w:p>
    <w:p w:rsidR="00000000" w:rsidDel="00000000" w:rsidP="00000000" w:rsidRDefault="00000000" w:rsidRPr="00000000" w14:paraId="00000014">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15">
      <w:pPr>
        <w:jc w:val="both"/>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Salud</w:t>
      </w:r>
    </w:p>
    <w:p w:rsidR="00000000" w:rsidDel="00000000" w:rsidP="00000000" w:rsidRDefault="00000000" w:rsidRPr="00000000" w14:paraId="00000016">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17">
      <w:pPr>
        <w:jc w:val="both"/>
        <w:rPr>
          <w:rFonts w:ascii="Arial Narrow" w:cs="Arial Narrow" w:eastAsia="Arial Narrow" w:hAnsi="Arial Narrow"/>
          <w:color w:val="212529"/>
          <w:sz w:val="22"/>
          <w:szCs w:val="22"/>
        </w:rPr>
      </w:pPr>
      <w:r w:rsidDel="00000000" w:rsidR="00000000" w:rsidRPr="00000000">
        <w:rPr>
          <w:rFonts w:ascii="Arial Narrow" w:cs="Arial Narrow" w:eastAsia="Arial Narrow" w:hAnsi="Arial Narrow"/>
          <w:color w:val="212529"/>
          <w:sz w:val="22"/>
          <w:szCs w:val="22"/>
          <w:rtl w:val="0"/>
        </w:rPr>
        <w:t xml:space="preserve">Avanzar en una mejor integración de los distintos subsistemas de salud que lleve a reducir la brecha de calidad y prestaciones entre ellos es un desafío para la mayoría de los países de la región. El desarrollo de mecanismos de control de gastos y de uso eficiente de los recursos, las políticas de prevención y el desarrollo de </w:t>
      </w:r>
      <w:r w:rsidDel="00000000" w:rsidR="00000000" w:rsidRPr="00000000">
        <w:rPr>
          <w:rFonts w:ascii="Arial Narrow" w:cs="Arial Narrow" w:eastAsia="Arial Narrow" w:hAnsi="Arial Narrow"/>
          <w:b w:val="1"/>
          <w:color w:val="212529"/>
          <w:sz w:val="22"/>
          <w:szCs w:val="22"/>
          <w:rtl w:val="0"/>
        </w:rPr>
        <w:t xml:space="preserve">políticas de cuidados</w:t>
      </w:r>
      <w:r w:rsidDel="00000000" w:rsidR="00000000" w:rsidRPr="00000000">
        <w:rPr>
          <w:rFonts w:ascii="Arial Narrow" w:cs="Arial Narrow" w:eastAsia="Arial Narrow" w:hAnsi="Arial Narrow"/>
          <w:color w:val="212529"/>
          <w:sz w:val="22"/>
          <w:szCs w:val="22"/>
          <w:rtl w:val="0"/>
        </w:rPr>
        <w:t xml:space="preserve"> son factores fundamentales para mejorar las prestaciones de los servicios de salud y su sostenibilidad fiscal.</w:t>
      </w:r>
    </w:p>
    <w:p w:rsidR="00000000" w:rsidDel="00000000" w:rsidP="00000000" w:rsidRDefault="00000000" w:rsidRPr="00000000" w14:paraId="00000018">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19">
      <w:pPr>
        <w:jc w:val="both"/>
        <w:rPr>
          <w:rFonts w:ascii="Arial Narrow" w:cs="Arial Narrow" w:eastAsia="Arial Narrow" w:hAnsi="Arial Narrow"/>
          <w:color w:val="212529"/>
          <w:sz w:val="22"/>
          <w:szCs w:val="22"/>
        </w:rPr>
      </w:pPr>
      <w:bookmarkStart w:colFirst="0" w:colLast="0" w:name="_30j0zll" w:id="1"/>
      <w:bookmarkEnd w:id="1"/>
      <w:r w:rsidDel="00000000" w:rsidR="00000000" w:rsidRPr="00000000">
        <w:rPr>
          <w:rFonts w:ascii="Arial Narrow" w:cs="Arial Narrow" w:eastAsia="Arial Narrow" w:hAnsi="Arial Narrow"/>
          <w:color w:val="212529"/>
          <w:sz w:val="22"/>
          <w:szCs w:val="22"/>
          <w:rtl w:val="0"/>
        </w:rPr>
        <w:t xml:space="preserve">En el </w:t>
      </w:r>
      <w:hyperlink r:id="rId8">
        <w:r w:rsidDel="00000000" w:rsidR="00000000" w:rsidRPr="00000000">
          <w:rPr>
            <w:rFonts w:ascii="Arial Narrow" w:cs="Arial Narrow" w:eastAsia="Arial Narrow" w:hAnsi="Arial Narrow"/>
            <w:color w:val="0563c1"/>
            <w:sz w:val="22"/>
            <w:szCs w:val="22"/>
            <w:u w:val="single"/>
            <w:rtl w:val="0"/>
          </w:rPr>
          <w:t xml:space="preserve">RED 2020</w:t>
        </w:r>
      </w:hyperlink>
      <w:r w:rsidDel="00000000" w:rsidR="00000000" w:rsidRPr="00000000">
        <w:rPr>
          <w:rFonts w:ascii="Arial Narrow" w:cs="Arial Narrow" w:eastAsia="Arial Narrow" w:hAnsi="Arial Narrow"/>
          <w:color w:val="212529"/>
          <w:sz w:val="22"/>
          <w:szCs w:val="22"/>
          <w:rtl w:val="0"/>
        </w:rPr>
        <w:t xml:space="preserve"> se destaca que no todo es cuestión de gastar más. Por el contrario, existe un margen significativo para </w:t>
      </w:r>
      <w:r w:rsidDel="00000000" w:rsidR="00000000" w:rsidRPr="00000000">
        <w:rPr>
          <w:rFonts w:ascii="Arial Narrow" w:cs="Arial Narrow" w:eastAsia="Arial Narrow" w:hAnsi="Arial Narrow"/>
          <w:b w:val="1"/>
          <w:color w:val="212529"/>
          <w:sz w:val="22"/>
          <w:szCs w:val="22"/>
          <w:rtl w:val="0"/>
        </w:rPr>
        <w:t xml:space="preserve">aumentar la eficiencia</w:t>
      </w:r>
      <w:r w:rsidDel="00000000" w:rsidR="00000000" w:rsidRPr="00000000">
        <w:rPr>
          <w:rFonts w:ascii="Arial Narrow" w:cs="Arial Narrow" w:eastAsia="Arial Narrow" w:hAnsi="Arial Narrow"/>
          <w:color w:val="212529"/>
          <w:sz w:val="22"/>
          <w:szCs w:val="22"/>
          <w:rtl w:val="0"/>
        </w:rPr>
        <w:t xml:space="preserve"> en el gasto en salud en la mayoría de los países de la región. Los resultados indican que se podría aumentar en promedio </w:t>
      </w:r>
      <w:r w:rsidDel="00000000" w:rsidR="00000000" w:rsidRPr="00000000">
        <w:rPr>
          <w:rFonts w:ascii="Arial Narrow" w:cs="Arial Narrow" w:eastAsia="Arial Narrow" w:hAnsi="Arial Narrow"/>
          <w:b w:val="1"/>
          <w:color w:val="212529"/>
          <w:sz w:val="22"/>
          <w:szCs w:val="22"/>
          <w:rtl w:val="0"/>
        </w:rPr>
        <w:t xml:space="preserve">10,6</w:t>
      </w:r>
      <w:r w:rsidDel="00000000" w:rsidR="00000000" w:rsidRPr="00000000">
        <w:rPr>
          <w:rFonts w:ascii="Arial Narrow" w:cs="Arial Narrow" w:eastAsia="Arial Narrow" w:hAnsi="Arial Narrow"/>
          <w:color w:val="212529"/>
          <w:sz w:val="22"/>
          <w:szCs w:val="22"/>
          <w:rtl w:val="0"/>
        </w:rPr>
        <w:t xml:space="preserve"> </w:t>
      </w:r>
      <w:r w:rsidDel="00000000" w:rsidR="00000000" w:rsidRPr="00000000">
        <w:rPr>
          <w:rFonts w:ascii="Arial Narrow" w:cs="Arial Narrow" w:eastAsia="Arial Narrow" w:hAnsi="Arial Narrow"/>
          <w:b w:val="1"/>
          <w:color w:val="212529"/>
          <w:sz w:val="22"/>
          <w:szCs w:val="22"/>
          <w:rtl w:val="0"/>
        </w:rPr>
        <w:t xml:space="preserve">puntos porcentuales</w:t>
      </w:r>
      <w:r w:rsidDel="00000000" w:rsidR="00000000" w:rsidRPr="00000000">
        <w:rPr>
          <w:rFonts w:ascii="Arial Narrow" w:cs="Arial Narrow" w:eastAsia="Arial Narrow" w:hAnsi="Arial Narrow"/>
          <w:color w:val="212529"/>
          <w:sz w:val="22"/>
          <w:szCs w:val="22"/>
          <w:rtl w:val="0"/>
        </w:rPr>
        <w:t xml:space="preserve"> la cobertura efectiva con el mismo gasto. Con una brecha promedio de </w:t>
      </w:r>
      <w:r w:rsidDel="00000000" w:rsidR="00000000" w:rsidRPr="00000000">
        <w:rPr>
          <w:rFonts w:ascii="Arial Narrow" w:cs="Arial Narrow" w:eastAsia="Arial Narrow" w:hAnsi="Arial Narrow"/>
          <w:b w:val="1"/>
          <w:color w:val="212529"/>
          <w:sz w:val="22"/>
          <w:szCs w:val="22"/>
          <w:rtl w:val="0"/>
        </w:rPr>
        <w:t xml:space="preserve">13,4 </w:t>
      </w:r>
      <w:r w:rsidDel="00000000" w:rsidR="00000000" w:rsidRPr="00000000">
        <w:rPr>
          <w:rFonts w:ascii="Arial Narrow" w:cs="Arial Narrow" w:eastAsia="Arial Narrow" w:hAnsi="Arial Narrow"/>
          <w:color w:val="212529"/>
          <w:sz w:val="22"/>
          <w:szCs w:val="22"/>
          <w:rtl w:val="0"/>
        </w:rPr>
        <w:t xml:space="preserve">puntos en el índice de cobertura con respecto a la media de la OCDE, eso significa que casi el </w:t>
      </w:r>
      <w:r w:rsidDel="00000000" w:rsidR="00000000" w:rsidRPr="00000000">
        <w:rPr>
          <w:rFonts w:ascii="Arial Narrow" w:cs="Arial Narrow" w:eastAsia="Arial Narrow" w:hAnsi="Arial Narrow"/>
          <w:b w:val="1"/>
          <w:color w:val="212529"/>
          <w:sz w:val="22"/>
          <w:szCs w:val="22"/>
          <w:rtl w:val="0"/>
        </w:rPr>
        <w:t xml:space="preserve">80%</w:t>
      </w:r>
      <w:r w:rsidDel="00000000" w:rsidR="00000000" w:rsidRPr="00000000">
        <w:rPr>
          <w:rFonts w:ascii="Arial Narrow" w:cs="Arial Narrow" w:eastAsia="Arial Narrow" w:hAnsi="Arial Narrow"/>
          <w:color w:val="212529"/>
          <w:sz w:val="22"/>
          <w:szCs w:val="22"/>
          <w:rtl w:val="0"/>
        </w:rPr>
        <w:t xml:space="preserve"> de dicha brecha podría cerrarse mediante mejoras de eficiencia.</w:t>
      </w:r>
    </w:p>
    <w:p w:rsidR="00000000" w:rsidDel="00000000" w:rsidP="00000000" w:rsidRDefault="00000000" w:rsidRPr="00000000" w14:paraId="0000001A">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1B">
      <w:pPr>
        <w:jc w:val="both"/>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Sostenibilidad fiscal</w:t>
      </w:r>
    </w:p>
    <w:p w:rsidR="00000000" w:rsidDel="00000000" w:rsidP="00000000" w:rsidRDefault="00000000" w:rsidRPr="00000000" w14:paraId="0000001C">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1D">
      <w:pPr>
        <w:jc w:val="both"/>
        <w:rPr>
          <w:rFonts w:ascii="Arial Narrow" w:cs="Arial Narrow" w:eastAsia="Arial Narrow" w:hAnsi="Arial Narrow"/>
          <w:color w:val="212529"/>
          <w:sz w:val="22"/>
          <w:szCs w:val="22"/>
        </w:rPr>
      </w:pPr>
      <w:r w:rsidDel="00000000" w:rsidR="00000000" w:rsidRPr="00000000">
        <w:rPr>
          <w:rFonts w:ascii="Arial Narrow" w:cs="Arial Narrow" w:eastAsia="Arial Narrow" w:hAnsi="Arial Narrow"/>
          <w:color w:val="212529"/>
          <w:sz w:val="22"/>
          <w:szCs w:val="22"/>
          <w:rtl w:val="0"/>
        </w:rPr>
        <w:t xml:space="preserve">Una estrategia para lograr reformas exitosas en pos de lograr la sostenibilidad fiscal de los sistemas es adoptar una visión amplia de las políticas y agrupar medidas que permitan tomar en cuenta diferentes dimensiones del sistema de protección social. Según la mencionada ECAF 2019, más del </w:t>
      </w:r>
      <w:r w:rsidDel="00000000" w:rsidR="00000000" w:rsidRPr="00000000">
        <w:rPr>
          <w:rFonts w:ascii="Arial Narrow" w:cs="Arial Narrow" w:eastAsia="Arial Narrow" w:hAnsi="Arial Narrow"/>
          <w:b w:val="1"/>
          <w:color w:val="212529"/>
          <w:sz w:val="22"/>
          <w:szCs w:val="22"/>
          <w:rtl w:val="0"/>
        </w:rPr>
        <w:t xml:space="preserve">45%</w:t>
      </w:r>
      <w:r w:rsidDel="00000000" w:rsidR="00000000" w:rsidRPr="00000000">
        <w:rPr>
          <w:rFonts w:ascii="Arial Narrow" w:cs="Arial Narrow" w:eastAsia="Arial Narrow" w:hAnsi="Arial Narrow"/>
          <w:color w:val="212529"/>
          <w:sz w:val="22"/>
          <w:szCs w:val="22"/>
          <w:rtl w:val="0"/>
        </w:rPr>
        <w:t xml:space="preserve"> de las personas prefieren reformas que combinen cambios en la edad de retiro, en el nivel de las prestaciones y en las tasas de contribución, a cualquier opción exclusiva. Una fórmula usual en este sentido es </w:t>
      </w:r>
      <w:r w:rsidDel="00000000" w:rsidR="00000000" w:rsidRPr="00000000">
        <w:rPr>
          <w:rFonts w:ascii="Arial Narrow" w:cs="Arial Narrow" w:eastAsia="Arial Narrow" w:hAnsi="Arial Narrow"/>
          <w:b w:val="1"/>
          <w:color w:val="212529"/>
          <w:sz w:val="22"/>
          <w:szCs w:val="22"/>
          <w:rtl w:val="0"/>
        </w:rPr>
        <w:t xml:space="preserve">combinar elementos que amplíen beneficios con aspectos que mejoren la sostenibilidad financiera,</w:t>
      </w:r>
      <w:r w:rsidDel="00000000" w:rsidR="00000000" w:rsidRPr="00000000">
        <w:rPr>
          <w:rFonts w:ascii="Arial Narrow" w:cs="Arial Narrow" w:eastAsia="Arial Narrow" w:hAnsi="Arial Narrow"/>
          <w:color w:val="212529"/>
          <w:sz w:val="22"/>
          <w:szCs w:val="22"/>
          <w:rtl w:val="0"/>
        </w:rPr>
        <w:t xml:space="preserve"> como aumentar marginalmente la edad de retiro. Finalmente, también es importante dotar al Estado de mayor agilidad, transparencia y habilidad para generar y procesar y comunicar la información que haga posible formular e implementar las políticas efectivas de protección social. </w:t>
      </w:r>
    </w:p>
    <w:p w:rsidR="00000000" w:rsidDel="00000000" w:rsidP="00000000" w:rsidRDefault="00000000" w:rsidRPr="00000000" w14:paraId="0000001E">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1F">
      <w:pPr>
        <w:jc w:val="both"/>
        <w:rPr>
          <w:rFonts w:ascii="Arial Narrow" w:cs="Arial Narrow" w:eastAsia="Arial Narrow" w:hAnsi="Arial Narrow"/>
          <w:color w:val="212529"/>
          <w:sz w:val="22"/>
          <w:szCs w:val="22"/>
        </w:rPr>
      </w:pPr>
      <w:r w:rsidDel="00000000" w:rsidR="00000000" w:rsidRPr="00000000">
        <w:rPr>
          <w:rFonts w:ascii="Arial Narrow" w:cs="Arial Narrow" w:eastAsia="Arial Narrow" w:hAnsi="Arial Narrow"/>
          <w:color w:val="212529"/>
          <w:sz w:val="22"/>
          <w:szCs w:val="22"/>
          <w:rtl w:val="0"/>
        </w:rPr>
        <w:t xml:space="preserve">“En definitiva, se deben </w:t>
      </w:r>
      <w:r w:rsidDel="00000000" w:rsidR="00000000" w:rsidRPr="00000000">
        <w:rPr>
          <w:rFonts w:ascii="Arial Narrow" w:cs="Arial Narrow" w:eastAsia="Arial Narrow" w:hAnsi="Arial Narrow"/>
          <w:b w:val="1"/>
          <w:color w:val="212529"/>
          <w:sz w:val="22"/>
          <w:szCs w:val="22"/>
          <w:rtl w:val="0"/>
        </w:rPr>
        <w:t xml:space="preserve">implementar políticas para incrementar la formalidad laboral</w:t>
      </w:r>
      <w:r w:rsidDel="00000000" w:rsidR="00000000" w:rsidRPr="00000000">
        <w:rPr>
          <w:rFonts w:ascii="Arial Narrow" w:cs="Arial Narrow" w:eastAsia="Arial Narrow" w:hAnsi="Arial Narrow"/>
          <w:color w:val="212529"/>
          <w:sz w:val="22"/>
          <w:szCs w:val="22"/>
          <w:rtl w:val="0"/>
        </w:rPr>
        <w:t xml:space="preserve">, aumentar la recaudación impositiva, ampliar la cobertura de las prestaciones de pensiones y salud, y a la vez introducir </w:t>
      </w:r>
      <w:r w:rsidDel="00000000" w:rsidR="00000000" w:rsidRPr="00000000">
        <w:rPr>
          <w:rFonts w:ascii="Arial Narrow" w:cs="Arial Narrow" w:eastAsia="Arial Narrow" w:hAnsi="Arial Narrow"/>
          <w:b w:val="1"/>
          <w:color w:val="212529"/>
          <w:sz w:val="22"/>
          <w:szCs w:val="22"/>
          <w:rtl w:val="0"/>
        </w:rPr>
        <w:t xml:space="preserve">reformas paramétricas en aquellos regímenes de pensiones contributivas</w:t>
      </w:r>
      <w:r w:rsidDel="00000000" w:rsidR="00000000" w:rsidRPr="00000000">
        <w:rPr>
          <w:rFonts w:ascii="Arial Narrow" w:cs="Arial Narrow" w:eastAsia="Arial Narrow" w:hAnsi="Arial Narrow"/>
          <w:color w:val="212529"/>
          <w:sz w:val="22"/>
          <w:szCs w:val="22"/>
          <w:rtl w:val="0"/>
        </w:rPr>
        <w:t xml:space="preserve"> que estén desequilibrados en términos actuariales. En algunos países, la ausencia de espacio fiscal implica que se deberán poner en marcha reformas que necesariamente contengan el gasto”, puntualizó </w:t>
      </w:r>
      <w:r w:rsidDel="00000000" w:rsidR="00000000" w:rsidRPr="00000000">
        <w:rPr>
          <w:rFonts w:ascii="Arial Narrow" w:cs="Arial Narrow" w:eastAsia="Arial Narrow" w:hAnsi="Arial Narrow"/>
          <w:b w:val="1"/>
          <w:color w:val="212529"/>
          <w:sz w:val="22"/>
          <w:szCs w:val="22"/>
          <w:rtl w:val="0"/>
        </w:rPr>
        <w:t xml:space="preserve">Sanguinetti</w:t>
      </w:r>
      <w:r w:rsidDel="00000000" w:rsidR="00000000" w:rsidRPr="00000000">
        <w:rPr>
          <w:rFonts w:ascii="Arial Narrow" w:cs="Arial Narrow" w:eastAsia="Arial Narrow" w:hAnsi="Arial Narrow"/>
          <w:color w:val="212529"/>
          <w:sz w:val="22"/>
          <w:szCs w:val="22"/>
          <w:rtl w:val="0"/>
        </w:rPr>
        <w:t xml:space="preserve">.</w:t>
      </w:r>
    </w:p>
    <w:p w:rsidR="00000000" w:rsidDel="00000000" w:rsidP="00000000" w:rsidRDefault="00000000" w:rsidRPr="00000000" w14:paraId="00000020">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21">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22">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23">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24">
      <w:pPr>
        <w:jc w:val="both"/>
        <w:rPr>
          <w:rFonts w:ascii="Arial Narrow" w:cs="Arial Narrow" w:eastAsia="Arial Narrow" w:hAnsi="Arial Narrow"/>
          <w:color w:val="212529"/>
          <w:sz w:val="20"/>
          <w:szCs w:val="20"/>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9">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www.caf.com</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ff"/>
          <w:sz w:val="16"/>
          <w:szCs w:val="16"/>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CAF, Dirección de Comunicación Estratégica, </w:t>
      </w:r>
      <w:hyperlink r:id="rId11">
        <w:r w:rsidDel="00000000" w:rsidR="00000000" w:rsidRPr="00000000">
          <w:rPr>
            <w:rFonts w:ascii="Arial Narrow" w:cs="Arial Narrow" w:eastAsia="Arial Narrow" w:hAnsi="Arial Narrow"/>
            <w:b w:val="0"/>
            <w:i w:val="0"/>
            <w:smallCaps w:val="0"/>
            <w:strike w:val="0"/>
            <w:color w:val="0000ff"/>
            <w:sz w:val="16"/>
            <w:szCs w:val="16"/>
            <w:u w:val="single"/>
            <w:shd w:fill="auto" w:val="clear"/>
            <w:vertAlign w:val="baseline"/>
            <w:rtl w:val="0"/>
          </w:rPr>
          <w:t xml:space="preserve">prensa@caf.com</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Encuéntrenos en: Facebook: </w:t>
      </w:r>
      <w:hyperlink r:id="rId12">
        <w:r w:rsidDel="00000000" w:rsidR="00000000" w:rsidRPr="00000000">
          <w:rPr>
            <w:rFonts w:ascii="Arial Narrow" w:cs="Arial Narrow" w:eastAsia="Arial Narrow" w:hAnsi="Arial Narrow"/>
            <w:b w:val="0"/>
            <w:i w:val="0"/>
            <w:smallCaps w:val="0"/>
            <w:strike w:val="0"/>
            <w:color w:val="0000ff"/>
            <w:sz w:val="16"/>
            <w:szCs w:val="16"/>
            <w:u w:val="single"/>
            <w:shd w:fill="auto" w:val="clear"/>
            <w:vertAlign w:val="baseline"/>
            <w:rtl w:val="0"/>
          </w:rPr>
          <w:t xml:space="preserve">CAF.America.Latina</w:t>
        </w:r>
      </w:hyperlink>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 Twitter: @AgendaCAF</w:t>
      </w:r>
      <w:r w:rsidDel="00000000" w:rsidR="00000000" w:rsidRPr="00000000">
        <w:rPr>
          <w:rtl w:val="0"/>
        </w:rPr>
      </w:r>
    </w:p>
    <w:sectPr>
      <w:headerReference r:id="rId13"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1647825</wp:posOffset>
          </wp:positionH>
          <wp:positionV relativeFrom="paragraph">
            <wp:posOffset>-247649</wp:posOffset>
          </wp:positionV>
          <wp:extent cx="1889760" cy="600710"/>
          <wp:effectExtent b="0" l="0" r="0" t="0"/>
          <wp:wrapSquare wrapText="bothSides" distB="0" distT="0" distL="114300" distR="114300"/>
          <wp:docPr descr="Imagen que contiene tabla&#10;&#10;Descripción generada automáticamente" id="2" name="image1.png"/>
          <a:graphic>
            <a:graphicData uri="http://schemas.openxmlformats.org/drawingml/2006/picture">
              <pic:pic>
                <pic:nvPicPr>
                  <pic:cNvPr descr="Imagen que contiene tabla&#10;&#10;Descripción generada automáticamente" id="0" name="image1.png"/>
                  <pic:cNvPicPr preferRelativeResize="0"/>
                </pic:nvPicPr>
                <pic:blipFill>
                  <a:blip r:embed="rId1"/>
                  <a:srcRect b="0" l="0" r="0" t="0"/>
                  <a:stretch>
                    <a:fillRect/>
                  </a:stretch>
                </pic:blipFill>
                <pic:spPr>
                  <a:xfrm>
                    <a:off x="0" y="0"/>
                    <a:ext cx="1889760" cy="6007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rensa@caf.com" TargetMode="External"/><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hyperlink" Target="https://www.facebook.com/CAF.America.Lati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f.com/" TargetMode="External"/><Relationship Id="rId5" Type="http://schemas.openxmlformats.org/officeDocument/2006/relationships/styles" Target="styles.xml"/><Relationship Id="rId6" Type="http://schemas.openxmlformats.org/officeDocument/2006/relationships/hyperlink" Target="https://scioteca.caf.com/handle/123456789/1652" TargetMode="External"/><Relationship Id="rId7" Type="http://schemas.openxmlformats.org/officeDocument/2006/relationships/hyperlink" Target="https://scioteca.caf.com/handle/123456789/1652" TargetMode="External"/><Relationship Id="rId8" Type="http://schemas.openxmlformats.org/officeDocument/2006/relationships/hyperlink" Target="https://scioteca.caf.com/handle/123456789/16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